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5595"/>
        <w:gridCol w:w="3961"/>
      </w:tblGrid>
      <w:tr w:rsidR="00405E48" w:rsidRPr="00376141" w14:paraId="770CD4AD" w14:textId="77777777">
        <w:trPr>
          <w:trHeight w:val="180"/>
        </w:trPr>
        <w:tc>
          <w:tcPr>
            <w:tcW w:w="9" w:type="dxa"/>
          </w:tcPr>
          <w:p w14:paraId="7882541E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5595" w:type="dxa"/>
          </w:tcPr>
          <w:p w14:paraId="3AE20593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3961" w:type="dxa"/>
          </w:tcPr>
          <w:p w14:paraId="0BFCA9DA" w14:textId="652C82B0" w:rsidR="00405E48" w:rsidRPr="00376141" w:rsidRDefault="001A330D">
            <w:pPr>
              <w:pStyle w:val="EmptyLayoutCel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PATVIRTINTA</w:t>
            </w:r>
          </w:p>
        </w:tc>
      </w:tr>
      <w:tr w:rsidR="00405E48" w:rsidRPr="00376141" w14:paraId="0D711E7A" w14:textId="77777777">
        <w:trPr>
          <w:trHeight w:val="1036"/>
        </w:trPr>
        <w:tc>
          <w:tcPr>
            <w:tcW w:w="9" w:type="dxa"/>
          </w:tcPr>
          <w:p w14:paraId="4247F1CD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5595" w:type="dxa"/>
          </w:tcPr>
          <w:p w14:paraId="5D14102D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396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1"/>
            </w:tblGrid>
            <w:tr w:rsidR="00405E48" w:rsidRPr="00376141" w14:paraId="2EDFA4C6" w14:textId="77777777">
              <w:trPr>
                <w:trHeight w:val="958"/>
              </w:trPr>
              <w:tc>
                <w:tcPr>
                  <w:tcW w:w="39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6BDB" w14:textId="636CE0E9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Kauno </w:t>
                  </w:r>
                  <w:r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Algio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val="lt-LT"/>
                    </w:rPr>
                    <w:t>Žikevičiaus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 saugaus vaiko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  <w:r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mokyklos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direktoriaus 202</w:t>
                  </w:r>
                  <w:r>
                    <w:rPr>
                      <w:color w:val="000000"/>
                      <w:sz w:val="22"/>
                      <w:szCs w:val="22"/>
                      <w:lang w:val="lt-LT"/>
                    </w:rPr>
                    <w:t>4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 m. </w:t>
                  </w:r>
                  <w:r>
                    <w:rPr>
                      <w:color w:val="000000"/>
                      <w:sz w:val="22"/>
                      <w:szCs w:val="22"/>
                      <w:lang w:val="lt-LT"/>
                    </w:rPr>
                    <w:t>kovo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 26 d.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 xml:space="preserve">įsakymu Nr. </w:t>
                  </w:r>
                  <w:r>
                    <w:rPr>
                      <w:color w:val="000000"/>
                      <w:sz w:val="22"/>
                      <w:szCs w:val="22"/>
                      <w:lang w:val="lt-LT"/>
                    </w:rPr>
                    <w:t>V-100</w:t>
                  </w:r>
                  <w:bookmarkStart w:id="0" w:name="_GoBack"/>
                  <w:bookmarkEnd w:id="0"/>
                </w:p>
              </w:tc>
            </w:tr>
          </w:tbl>
          <w:p w14:paraId="54C10F34" w14:textId="77777777" w:rsidR="00405E48" w:rsidRPr="00376141" w:rsidRDefault="00405E48">
            <w:pPr>
              <w:rPr>
                <w:sz w:val="22"/>
                <w:szCs w:val="22"/>
                <w:lang w:val="lt-LT"/>
              </w:rPr>
            </w:pPr>
          </w:p>
        </w:tc>
      </w:tr>
      <w:tr w:rsidR="00405E48" w:rsidRPr="00376141" w14:paraId="4BA0A294" w14:textId="77777777">
        <w:trPr>
          <w:trHeight w:val="223"/>
        </w:trPr>
        <w:tc>
          <w:tcPr>
            <w:tcW w:w="9" w:type="dxa"/>
          </w:tcPr>
          <w:p w14:paraId="47AAE6F7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5595" w:type="dxa"/>
          </w:tcPr>
          <w:p w14:paraId="026B77DD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3961" w:type="dxa"/>
          </w:tcPr>
          <w:p w14:paraId="6FE1FC80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</w:tr>
      <w:tr w:rsidR="00376141" w:rsidRPr="00376141" w14:paraId="20E7D73C" w14:textId="77777777" w:rsidTr="00376141">
        <w:trPr>
          <w:trHeight w:val="340"/>
        </w:trPr>
        <w:tc>
          <w:tcPr>
            <w:tcW w:w="9" w:type="dxa"/>
          </w:tcPr>
          <w:p w14:paraId="6C89DDB5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95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56"/>
            </w:tblGrid>
            <w:tr w:rsidR="00405E48" w:rsidRPr="00376141" w14:paraId="4CFD9C68" w14:textId="77777777">
              <w:trPr>
                <w:trHeight w:val="262"/>
              </w:trPr>
              <w:tc>
                <w:tcPr>
                  <w:tcW w:w="95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4FB6" w14:textId="615954E8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>KAUNO ALGIO ŽIKEVIČIAUS SAUGAUS VAIKO MOKYKLA</w:t>
                  </w:r>
                </w:p>
              </w:tc>
            </w:tr>
          </w:tbl>
          <w:p w14:paraId="386630D4" w14:textId="77777777" w:rsidR="00405E48" w:rsidRPr="00376141" w:rsidRDefault="00405E48">
            <w:pPr>
              <w:rPr>
                <w:sz w:val="22"/>
                <w:szCs w:val="22"/>
                <w:lang w:val="lt-LT"/>
              </w:rPr>
            </w:pPr>
          </w:p>
        </w:tc>
      </w:tr>
      <w:tr w:rsidR="00405E48" w:rsidRPr="00376141" w14:paraId="3A7BE775" w14:textId="77777777">
        <w:trPr>
          <w:trHeight w:val="79"/>
        </w:trPr>
        <w:tc>
          <w:tcPr>
            <w:tcW w:w="9" w:type="dxa"/>
          </w:tcPr>
          <w:p w14:paraId="7938EF30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5595" w:type="dxa"/>
          </w:tcPr>
          <w:p w14:paraId="183CEED7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3961" w:type="dxa"/>
          </w:tcPr>
          <w:p w14:paraId="74A35EE2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</w:tr>
      <w:tr w:rsidR="00376141" w:rsidRPr="00376141" w14:paraId="008C5E37" w14:textId="77777777" w:rsidTr="00376141">
        <w:trPr>
          <w:trHeight w:val="340"/>
        </w:trPr>
        <w:tc>
          <w:tcPr>
            <w:tcW w:w="9" w:type="dxa"/>
          </w:tcPr>
          <w:p w14:paraId="3E6B47F3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95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56"/>
            </w:tblGrid>
            <w:tr w:rsidR="00405E48" w:rsidRPr="00376141" w14:paraId="790876D6" w14:textId="77777777">
              <w:trPr>
                <w:trHeight w:val="262"/>
              </w:trPr>
              <w:tc>
                <w:tcPr>
                  <w:tcW w:w="95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03F4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>2024 METŲ VEIKLOS PLANAS</w:t>
                  </w:r>
                </w:p>
              </w:tc>
            </w:tr>
          </w:tbl>
          <w:p w14:paraId="54C3EFB8" w14:textId="77777777" w:rsidR="00405E48" w:rsidRPr="00376141" w:rsidRDefault="00405E48">
            <w:pPr>
              <w:rPr>
                <w:sz w:val="22"/>
                <w:szCs w:val="22"/>
                <w:lang w:val="lt-LT"/>
              </w:rPr>
            </w:pPr>
          </w:p>
        </w:tc>
      </w:tr>
      <w:tr w:rsidR="00405E48" w:rsidRPr="00376141" w14:paraId="3DB7B302" w14:textId="77777777">
        <w:trPr>
          <w:trHeight w:val="120"/>
        </w:trPr>
        <w:tc>
          <w:tcPr>
            <w:tcW w:w="9" w:type="dxa"/>
          </w:tcPr>
          <w:p w14:paraId="24070ADF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5595" w:type="dxa"/>
          </w:tcPr>
          <w:p w14:paraId="3D38CAE7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3961" w:type="dxa"/>
          </w:tcPr>
          <w:p w14:paraId="46CCE69B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</w:tr>
      <w:tr w:rsidR="00376141" w:rsidRPr="00376141" w14:paraId="09EA847B" w14:textId="77777777" w:rsidTr="00376141">
        <w:tc>
          <w:tcPr>
            <w:tcW w:w="956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579"/>
              <w:gridCol w:w="2783"/>
              <w:gridCol w:w="967"/>
              <w:gridCol w:w="2173"/>
            </w:tblGrid>
            <w:tr w:rsidR="00405E48" w:rsidRPr="00376141" w14:paraId="1CEE1902" w14:textId="77777777">
              <w:trPr>
                <w:trHeight w:val="262"/>
              </w:trPr>
              <w:tc>
                <w:tcPr>
                  <w:tcW w:w="54" w:type="dxa"/>
                </w:tcPr>
                <w:p w14:paraId="4B5B2061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FC1D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Metų prioritetinė veikla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93F7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Siekiamas pokytis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(vertinimo kriterijus, matavimo vienetas)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43C0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Siekiama reikšmė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DF23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Sąsaja su įstaigos, savivaldybės ir (ar) kitų institucijų / įstaigų planavimo dokumentais, kurie lemia įstaigos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 xml:space="preserve"> veiklos prioritetus</w:t>
                  </w:r>
                </w:p>
              </w:tc>
            </w:tr>
            <w:tr w:rsidR="00405E48" w:rsidRPr="00376141" w14:paraId="18C7E411" w14:textId="77777777">
              <w:trPr>
                <w:trHeight w:val="262"/>
              </w:trPr>
              <w:tc>
                <w:tcPr>
                  <w:tcW w:w="54" w:type="dxa"/>
                </w:tcPr>
                <w:p w14:paraId="75422CA7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F51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1. Popamokinių veiklų lankomumo apskaitos i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nformacinės sistemos efektyvus panaudojimas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0E8E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Lankytų pamokų/užsiėmimų dalis nuo bendro pamokų/užsiėmimų skaičiaus,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34F4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80.00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468A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Vertinimo kriterijus skirtas įvertinti mokinių lankomumo kokybę. Vertinimo kriterijus apskaičiuojamas: lankytų pamokų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skaičius padalinamas iš bendro programai skirtų pamokų ar užsiėmimų skaičiaus ir padauginamas iš 100</w:t>
                  </w:r>
                </w:p>
              </w:tc>
            </w:tr>
            <w:tr w:rsidR="00405E48" w:rsidRPr="00376141" w14:paraId="5D31F8A5" w14:textId="77777777">
              <w:trPr>
                <w:trHeight w:val="262"/>
              </w:trPr>
              <w:tc>
                <w:tcPr>
                  <w:tcW w:w="54" w:type="dxa"/>
                </w:tcPr>
                <w:p w14:paraId="4785220A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A682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B100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Faktinė lankomumo, žymėto kortele, dalis,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3CCB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80.00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11E2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Vertinimo kriterijus skirtas įvertinti mokinių lankomumo kokybę ir užtikrinti saugumą. Vertinimo k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riterijus apskaičiuojamas: lankytų pamokų, užsiėmimų, pažymėtų kortele, skaičius padalinamas iš bendro lankytų pamokų, užsiėmimų ir padauginamas iš 100</w:t>
                  </w:r>
                </w:p>
              </w:tc>
            </w:tr>
            <w:tr w:rsidR="00405E48" w:rsidRPr="00376141" w14:paraId="50092237" w14:textId="77777777">
              <w:trPr>
                <w:trHeight w:val="262"/>
              </w:trPr>
              <w:tc>
                <w:tcPr>
                  <w:tcW w:w="54" w:type="dxa"/>
                </w:tcPr>
                <w:p w14:paraId="611CC15C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C416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356A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10E7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4F41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376141" w:rsidRPr="00376141" w14:paraId="78F67AA1" w14:textId="77777777" w:rsidTr="00376141">
              <w:trPr>
                <w:trHeight w:val="262"/>
              </w:trPr>
              <w:tc>
                <w:tcPr>
                  <w:tcW w:w="54" w:type="dxa"/>
                </w:tcPr>
                <w:p w14:paraId="09727B44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86AB" w14:textId="77777777" w:rsidR="00405E48" w:rsidRPr="00376141" w:rsidRDefault="001A330D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Metiniai savivaldybės biudžeto asignavimai</w:t>
                  </w:r>
                </w:p>
              </w:tc>
              <w:tc>
                <w:tcPr>
                  <w:tcW w:w="592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12FC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 xml:space="preserve">Metiniai asignavimai 1 484,0 tūkst. eurų, Iš jų: </w:t>
                  </w: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>darbo užmokesčiui 1 380,7 tūkst. eurų, Turtui 2,0 tūkst. eurų</w:t>
                  </w:r>
                </w:p>
              </w:tc>
            </w:tr>
            <w:tr w:rsidR="00376141" w:rsidRPr="00376141" w14:paraId="1C9CCDB4" w14:textId="77777777" w:rsidTr="00376141">
              <w:trPr>
                <w:trHeight w:val="262"/>
              </w:trPr>
              <w:tc>
                <w:tcPr>
                  <w:tcW w:w="54" w:type="dxa"/>
                </w:tcPr>
                <w:p w14:paraId="22CB5938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6E04" w14:textId="77777777" w:rsidR="00405E48" w:rsidRPr="00376141" w:rsidRDefault="001A330D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Veiklos planu prisidedama siekiant šių 2024-2026 m. strateginis veiklos planas tikslų ir uždavinių</w:t>
                  </w:r>
                </w:p>
              </w:tc>
              <w:tc>
                <w:tcPr>
                  <w:tcW w:w="592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83E4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>SPP/SVP tikslas: Įtraukus, sumanus, besimokantis ir sportuojantis miestas; SPP/SVP uždavinys:</w:t>
                  </w: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 xml:space="preserve"> Vystyti efektyvaus švietimo ir sporto įstaigų tinklą ir plėtoti infrastruktūrą; SPP/SVP priemonė: Vystyti efektyvų formaliojo ir neformaliojo švietimo įstaigų tinklą</w:t>
                  </w:r>
                </w:p>
              </w:tc>
            </w:tr>
          </w:tbl>
          <w:p w14:paraId="468C2438" w14:textId="77777777" w:rsidR="00405E48" w:rsidRPr="00376141" w:rsidRDefault="00405E48">
            <w:pPr>
              <w:rPr>
                <w:sz w:val="22"/>
                <w:szCs w:val="22"/>
                <w:lang w:val="lt-LT"/>
              </w:rPr>
            </w:pPr>
          </w:p>
        </w:tc>
      </w:tr>
      <w:tr w:rsidR="00405E48" w:rsidRPr="00376141" w14:paraId="6CC5EE62" w14:textId="77777777">
        <w:trPr>
          <w:trHeight w:val="100"/>
        </w:trPr>
        <w:tc>
          <w:tcPr>
            <w:tcW w:w="9" w:type="dxa"/>
          </w:tcPr>
          <w:p w14:paraId="04E908D3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5595" w:type="dxa"/>
          </w:tcPr>
          <w:p w14:paraId="7B044B95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3961" w:type="dxa"/>
          </w:tcPr>
          <w:p w14:paraId="6ED49786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</w:tr>
    </w:tbl>
    <w:p w14:paraId="231B764E" w14:textId="77777777" w:rsidR="00376141" w:rsidRDefault="0037614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5595"/>
        <w:gridCol w:w="3961"/>
      </w:tblGrid>
      <w:tr w:rsidR="00376141" w:rsidRPr="00376141" w14:paraId="29AAB556" w14:textId="77777777" w:rsidTr="00376141">
        <w:tc>
          <w:tcPr>
            <w:tcW w:w="9" w:type="dxa"/>
          </w:tcPr>
          <w:p w14:paraId="00570570" w14:textId="2211E218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95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571"/>
              <w:gridCol w:w="2783"/>
              <w:gridCol w:w="967"/>
              <w:gridCol w:w="2172"/>
            </w:tblGrid>
            <w:tr w:rsidR="00405E48" w:rsidRPr="00376141" w14:paraId="5DB14079" w14:textId="77777777">
              <w:trPr>
                <w:trHeight w:val="262"/>
              </w:trPr>
              <w:tc>
                <w:tcPr>
                  <w:tcW w:w="54" w:type="dxa"/>
                </w:tcPr>
                <w:p w14:paraId="25785974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80BA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Veiklos sritis, tema, metinis veiksmas / darbas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094F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Pagrindinis vertinimo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kriterijus, matavimo vienetas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D5D8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Siekiama reikšmė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9783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Atsakingas (-i) darbuotojas (-ai), pareigos</w:t>
                  </w:r>
                </w:p>
              </w:tc>
            </w:tr>
            <w:tr w:rsidR="00376141" w:rsidRPr="00376141" w14:paraId="18C3EBBC" w14:textId="77777777" w:rsidTr="00376141">
              <w:trPr>
                <w:trHeight w:val="262"/>
              </w:trPr>
              <w:tc>
                <w:tcPr>
                  <w:tcW w:w="54" w:type="dxa"/>
                  <w:vMerge w:val="restart"/>
                </w:tcPr>
                <w:p w14:paraId="74035186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50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6D47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>ŽMOGIŠKIEJI IŠTEKLIAI</w:t>
                  </w:r>
                </w:p>
              </w:tc>
            </w:tr>
            <w:tr w:rsidR="00405E48" w:rsidRPr="00376141" w14:paraId="4AC2E3BC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2F374BF6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ECD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Personalo valdymas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1. Užtikrinti personalo darbo veiksmingumą, racionalų turimų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 xml:space="preserve">pareigybių ir etatų paskirstymą numatytų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funkcijų atlikimui.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2. Stiprinti darbuotojų motyvavimo sistemą.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3. Pagerinti darbuotojų darbo ir poilsio sąlygas.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D118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Užimtų pareigybių dalis,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493B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100.00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2929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74B734CE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31A774F8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277D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Personalo valdymas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8E4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Pedagoginių pareigybių dalis nuo patvirtintų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pareigybių 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DF30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72.90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E86B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457F784C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3371B062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68A9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Personalo valdymas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D2B1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Paslaugas teikiančių pagalbos specialistų skaičius, 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Asm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AC17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7.00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B56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580D7BCF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4636D393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91AF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Personalo valdymas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B3E7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Bendras pedagoginių darbuotojų  skaičius (tarp jų ir vadovai), tenkantis vienam vaikui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(mokiniui), 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Asm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69C8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0.06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CE5D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743AD50A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18538C9E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49C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Personalo valdymas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98CE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Darbuotojų kaitos indeksas,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DDF1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4EDA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65FC7582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100BC44A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14D7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II. Kvalifikacijos tobulinimas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1.Vykdyti pedagogų kvalifikacijos tobulinimą ugdymo kokybės požiūriu.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3A4D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Kvalifikaciją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tobulinusių darbuotojų dalis,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464F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75.00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103B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376141" w:rsidRPr="00376141" w14:paraId="4028AFD5" w14:textId="77777777" w:rsidTr="00376141">
              <w:trPr>
                <w:trHeight w:val="262"/>
              </w:trPr>
              <w:tc>
                <w:tcPr>
                  <w:tcW w:w="54" w:type="dxa"/>
                  <w:vMerge w:val="restart"/>
                </w:tcPr>
                <w:p w14:paraId="2134E068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50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CA01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>FINANSAI</w:t>
                  </w:r>
                </w:p>
              </w:tc>
            </w:tr>
            <w:tr w:rsidR="00405E48" w:rsidRPr="00376141" w14:paraId="1E7B0400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73EE5538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3331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Gautos lėšos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1. Tobulinti finansinių išteklių planavimo ir racionalaus jų panaudojimo sistemą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2. Racionaliai panaudoti papildomus finansavimo šaltinius, ieškant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alternatyvių finansinių išteklių šaltinių.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9D5F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Įstaigos uždirbtų metinių pajamų dalis nuo metinio įstaigos biudžeto,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EC54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4.00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0970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152DEAD4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70554691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2F5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Gautos lėšos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465E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Įstaigos pritrauktos lėšos, Eur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3501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95,000.00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2B5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21DC6B62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1D9696BE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B4B1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Gautos lėšos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B095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Įstaigos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vidutinė projektinio finansavimo paraiškomis laimėtų lėšų suma, Eur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2C81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4,000.00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2BAC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73F74526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201058DC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A3A0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II. Išlaidos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1. Planuoti prekių, paslaugų, darbų poreikį.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2. Užtikrinti sistemingą vidaus kontrolę.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F157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Per ataskaitinius metus panaudotų asignavimų dalis nuo patvir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tintų metinių asignavimų,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63A1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100.00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0D3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0F41EBCA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7024CB06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87B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II. Išlaidos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2590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Per ataskaitinius metus panaudotų biudžeto asignavimų dalis nuo patvirtintų metinių biudžeto asignavimų,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D3FD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100.00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601C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4FEEE47B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6EFF6126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D48E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II. Išlaidos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3F3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Per ataskaitinius metus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panaudotų asignavimų iš įstaigos įmokų pajamų dalis nuo patvirtintų asignavimų iš įstaigos įmokų pajamų,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6BC8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100.00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B2D9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376141" w:rsidRPr="00376141" w14:paraId="0A6C1671" w14:textId="77777777" w:rsidTr="00376141">
              <w:trPr>
                <w:trHeight w:val="262"/>
              </w:trPr>
              <w:tc>
                <w:tcPr>
                  <w:tcW w:w="54" w:type="dxa"/>
                  <w:vMerge w:val="restart"/>
                </w:tcPr>
                <w:p w14:paraId="1AC01EA0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50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8EBB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>TURTAS</w:t>
                  </w:r>
                </w:p>
              </w:tc>
            </w:tr>
            <w:tr w:rsidR="00405E48" w:rsidRPr="00376141" w14:paraId="7EFC6999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6FA5B5A7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C83F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Nekilnojamo turto valdymas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1. Užtikrinti racionalų ir tausojantį turto valdymą.                            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 xml:space="preserve">2. Užtikrinti įstaigos nuomojamų patalpų tausojantį turto valdymą. 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3. Racionaliai paskirstyti  įstaigos valdomo nekilnojamojo turto plotą.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E70A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Įstaigos valdomo nekilnojamojo tu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rto 1 kv. m išlaikymo kaina, Eur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2F6B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8.00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EBF8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4DDD86B3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346C10FD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7DDF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Nekilnojamo turto valdymas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A42F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Pagrindinėms įstaigos funkcijoms vykdyti naudojamo nekilnojamojo turto ploto dalis,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868D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73.00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A324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6F847EA9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46856D13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48E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Nekilnojamo turto valdymas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4E9B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Įstaigos išnuomoto nekil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nojamojo turto ploto dalis,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9335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17.85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3EAE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5B31E3B2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48FC1759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983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Nekilnojamo turto valdymas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1227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Įstaigos valdomo nekilnojamojo turto (kabinetų) plotas, tenkantis vienam įstaigos administracijos darbuotojui, Kv. 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4766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15.00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D6D1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376141" w:rsidRPr="00376141" w14:paraId="52EB0F9E" w14:textId="77777777" w:rsidTr="00376141">
              <w:trPr>
                <w:trHeight w:val="262"/>
              </w:trPr>
              <w:tc>
                <w:tcPr>
                  <w:tcW w:w="54" w:type="dxa"/>
                  <w:vMerge w:val="restart"/>
                </w:tcPr>
                <w:p w14:paraId="23F9005A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50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4A9F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 xml:space="preserve">PAGRINDINĖ VEIKLA </w:t>
                  </w: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>(pagal teisės aktuose nustatytas funkcijas)</w:t>
                  </w:r>
                </w:p>
              </w:tc>
            </w:tr>
            <w:tr w:rsidR="00405E48" w:rsidRPr="00376141" w14:paraId="2624E5E6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1EC2F37F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1379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Neformaliojo vaikų švietimo organizavimas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1. Vykdyti neformaliojo vaikų švietimo programų pasirinkimo galimybių bei įvairovės plėtrą.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2. Sudaryti sąlygas ugdytis kitose edukacinėse aplinkose ir arti gyvenamo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sios vietos.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3. Vykdyti pedagoginės pagalbos teikimą ir lankomumo stebėseną.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4. Sudaryti saugias ir higienos normas atitinkančias ugdymosi sąlygas: atitinkančias ugdymosi sąlygas.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D59D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Neformaliojo vaikų švietimo veiklose, organizuojamose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neformaliojo ugdymo įstaigoje, dalyvaujančių mokinių skaičius,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948B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1,100.00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6E49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376141" w:rsidRPr="00376141" w14:paraId="67B53F04" w14:textId="77777777" w:rsidTr="00376141">
              <w:trPr>
                <w:trHeight w:val="262"/>
              </w:trPr>
              <w:tc>
                <w:tcPr>
                  <w:tcW w:w="54" w:type="dxa"/>
                  <w:vMerge w:val="restart"/>
                </w:tcPr>
                <w:p w14:paraId="70947A4C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50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BC5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  <w:t>PASLAUGŲ KOKYBĖ IR PRIEINAMUMAS</w:t>
                  </w:r>
                </w:p>
              </w:tc>
            </w:tr>
            <w:tr w:rsidR="00405E48" w:rsidRPr="00376141" w14:paraId="04F125A3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2F3F722B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9CCF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Gerų ugdymo(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) rezultatų užtikrinimas neformaliojo švietimo programoje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1. Siekti vaiko asmeninės pažangos.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2. Tobulinti va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ikų lankomumo sistemą, skatinant sistemingą dalyvavimą ugdymo (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) procese.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3. Užtikrinti kokybišką ugdymo(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) įvairovę įvairių poreikių vaikams.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4. Gerinti mokinių ugdymosi kokybę.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5. Aktyvinti Mokyklos dalyvavimą projektinėje veikloje ugdant žmogaus saug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os, ekologinės savimonės ir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lastRenderedPageBreak/>
                    <w:t>pažinimo, pilietiškumo ir krašto pažinimo, sveikos gyvensenos kompetencijas.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8C1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lastRenderedPageBreak/>
                    <w:t>Vaikų poreikius tenkinančių neformaliojo švietimo programų skaičius, Vnt.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0E7F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18.00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E432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677B935C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323D9F07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ADF5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Gerų ugdymo(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) rezultatų užtikrinimas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neformaliojo švietimo programoje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3E6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Mokinių, baigusių programas, dalis nuo visų programose dalyvaujančių mokinių skaičiaus,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2027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88.00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426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256D9ACA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0AD12C3F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1367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Gerų ugdymo(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) rezultatų užtikrinimas neformaliojo švietimo programoje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17D4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Neformaliojo švietimo teikia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mų paslaugų kokybę itin palankiai vertinančių paslaugos gavėjų dalis,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0FCF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85.00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5257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2D80B1FF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78D80049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E69C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Gerų ugdymo(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) rezultatų užtikrinimas neformaliojo švietimo programoje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AC5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Lankytų neformaliojo švietimo programų pamokų (užsiėmimų) dalis nuo bendro progr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amoms skirtų pamokų (užsiėmimų) skaičiaus,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4BE3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80.00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2BD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766BB4F2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3D3943DA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CF38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Gerų ugdymo(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) rezultatų užtikrinimas neformaliojo švietimo programoje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8D0F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Įstaigos gautų nominacijų, apdovanojimų ar premijų skaičius, Vnt.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39A3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FD1B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165278D9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1D099456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7ACA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I. Gerų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ugdymo(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) rezultatų užtikrinimas neformaliojo švietimo programoje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5F2B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Vykdomų tarptautinių festivalių, konkursų skaičius, Vnt.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A88B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0.00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D7FA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0DB64724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74F2ED4D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A65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I. Gerų ugdymo(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) rezultatų užtikrinimas neformaliojo švietimo programoje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81AA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Vykdomų respublikinių ir tarptau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tinių projektų skaičius, Vnt.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237C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1.00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25E2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0506BFEC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24D3E31B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5108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II. Teikiamų paslaugų finansinės išlaidos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1. Vykdyti efektyvų tėvų įmokų už paslaugas administravimą.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9206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Įstaigos teikiamų paslaugų finansinių išteklių, skirtų neformaliajam švietimui 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organizuoti, dalis,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BC3C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96.21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0B49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08F92EFA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6EFD7063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73E3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III. Geros savijautos užtikrinimas neformaliojo švietimo programoje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1. Užtikrinti mokinių saugumą mokykloje.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2. Kauno miesto mokinių socialinių emocinių kompetencijų ugdymas.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3. Organizuoti užsiėmimus, paskaitas, </w:t>
                  </w:r>
                  <w:proofErr w:type="spellStart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indvidualias</w:t>
                  </w:r>
                  <w:proofErr w:type="spellEnd"/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 xml:space="preserve"> konsultacijas mokiniams, jų tėvams, mokytojams.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90EC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Mokinių, saugiai ir gerai besijaučiančių ugdymo įstaigoje dalis nuo bendro įstaigą lankančių mokinių skaičiaus, Proc.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9630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83.00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6ADC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  <w:tr w:rsidR="00405E48" w:rsidRPr="00376141" w14:paraId="77BD1A72" w14:textId="77777777">
              <w:trPr>
                <w:trHeight w:val="262"/>
              </w:trPr>
              <w:tc>
                <w:tcPr>
                  <w:tcW w:w="54" w:type="dxa"/>
                  <w:vMerge/>
                </w:tcPr>
                <w:p w14:paraId="5A8BD102" w14:textId="77777777" w:rsidR="00405E48" w:rsidRPr="00376141" w:rsidRDefault="00405E48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2FAA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IV. Paslaugų, a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tsižvelgiant į vaiko poreikius, užtikrinimas neformaliojo švietimo programoje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br/>
                    <w:t>1. Vystyti Mokyklose vykdomas neformaliojo švietimo sritis, siekiant maksimaliai patenkinti vaikų ugdymosi poreikius.</w:t>
                  </w:r>
                </w:p>
              </w:tc>
              <w:tc>
                <w:tcPr>
                  <w:tcW w:w="2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62DA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Siūlomų neformaliojo švietimo programų krypčių skaičius, Vnt</w:t>
                  </w: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13B9" w14:textId="77777777" w:rsidR="00405E48" w:rsidRPr="00376141" w:rsidRDefault="001A330D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4.00</w:t>
                  </w:r>
                </w:p>
              </w:tc>
              <w:tc>
                <w:tcPr>
                  <w:tcW w:w="21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6178" w14:textId="77777777" w:rsidR="00405E48" w:rsidRPr="00376141" w:rsidRDefault="001A330D">
                  <w:pPr>
                    <w:rPr>
                      <w:sz w:val="22"/>
                      <w:szCs w:val="22"/>
                      <w:lang w:val="lt-LT"/>
                    </w:rPr>
                  </w:pPr>
                  <w:r w:rsidRPr="00376141">
                    <w:rPr>
                      <w:color w:val="000000"/>
                      <w:sz w:val="22"/>
                      <w:szCs w:val="22"/>
                      <w:lang w:val="lt-LT"/>
                    </w:rPr>
                    <w:t>Rasa Šerpytienė</w:t>
                  </w:r>
                </w:p>
              </w:tc>
            </w:tr>
          </w:tbl>
          <w:p w14:paraId="2CAC9029" w14:textId="77777777" w:rsidR="00405E48" w:rsidRPr="00376141" w:rsidRDefault="00405E48">
            <w:pPr>
              <w:rPr>
                <w:sz w:val="22"/>
                <w:szCs w:val="22"/>
                <w:lang w:val="lt-LT"/>
              </w:rPr>
            </w:pPr>
          </w:p>
        </w:tc>
      </w:tr>
      <w:tr w:rsidR="00405E48" w:rsidRPr="00376141" w14:paraId="2B967B31" w14:textId="77777777">
        <w:trPr>
          <w:trHeight w:val="100"/>
        </w:trPr>
        <w:tc>
          <w:tcPr>
            <w:tcW w:w="9" w:type="dxa"/>
          </w:tcPr>
          <w:p w14:paraId="14FB72B2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5595" w:type="dxa"/>
          </w:tcPr>
          <w:p w14:paraId="0D6BD0F6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  <w:tc>
          <w:tcPr>
            <w:tcW w:w="3961" w:type="dxa"/>
          </w:tcPr>
          <w:p w14:paraId="7C3C2CFA" w14:textId="77777777" w:rsidR="00405E48" w:rsidRPr="00376141" w:rsidRDefault="00405E48">
            <w:pPr>
              <w:pStyle w:val="EmptyLayoutCell"/>
              <w:rPr>
                <w:sz w:val="22"/>
                <w:szCs w:val="22"/>
                <w:lang w:val="lt-LT"/>
              </w:rPr>
            </w:pPr>
          </w:p>
        </w:tc>
      </w:tr>
    </w:tbl>
    <w:p w14:paraId="4700D0C1" w14:textId="77777777" w:rsidR="002472A6" w:rsidRPr="00376141" w:rsidRDefault="002472A6">
      <w:pPr>
        <w:rPr>
          <w:sz w:val="22"/>
          <w:szCs w:val="22"/>
          <w:lang w:val="lt-LT"/>
        </w:rPr>
      </w:pPr>
    </w:p>
    <w:sectPr w:rsidR="002472A6" w:rsidRPr="00376141">
      <w:pgSz w:w="11905" w:h="16837"/>
      <w:pgMar w:top="1133" w:right="1133" w:bottom="1133" w:left="1133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41"/>
    <w:rsid w:val="001A330D"/>
    <w:rsid w:val="002472A6"/>
    <w:rsid w:val="0029060C"/>
    <w:rsid w:val="00376141"/>
    <w:rsid w:val="004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53D2"/>
  <w15:chartTrackingRefBased/>
  <w15:docId w15:val="{7E7D467C-8CCE-4C90-99D4-B8F58C1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5030</Words>
  <Characters>2868</Characters>
  <Application>Microsoft Office Word</Application>
  <DocSecurity>0</DocSecurity>
  <Lines>23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Pavaduotoju 1</dc:creator>
  <cp:keywords/>
  <cp:lastModifiedBy>Rasa Šerpytienė</cp:lastModifiedBy>
  <cp:revision>3</cp:revision>
  <dcterms:created xsi:type="dcterms:W3CDTF">2024-04-03T12:07:00Z</dcterms:created>
  <dcterms:modified xsi:type="dcterms:W3CDTF">2024-04-03T12:14:00Z</dcterms:modified>
</cp:coreProperties>
</file>